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34425" w14:textId="77777777" w:rsidR="006C61AD" w:rsidRPr="00A16BDD" w:rsidRDefault="006C61AD" w:rsidP="006C61AD">
      <w:pPr>
        <w:spacing w:line="480" w:lineRule="auto"/>
        <w:jc w:val="center"/>
        <w:rPr>
          <w:rFonts w:ascii="Times New Roman" w:hAnsi="Times New Roman" w:cs="Times New Roman"/>
          <w:sz w:val="24"/>
          <w:szCs w:val="24"/>
          <w:lang w:val="en-US"/>
        </w:rPr>
      </w:pPr>
    </w:p>
    <w:p w14:paraId="727A24BE" w14:textId="77777777" w:rsidR="006C61AD" w:rsidRPr="00736D30" w:rsidRDefault="006C61AD" w:rsidP="00736D30">
      <w:pPr>
        <w:spacing w:line="480" w:lineRule="auto"/>
        <w:jc w:val="center"/>
        <w:rPr>
          <w:rFonts w:ascii="Times New Roman" w:hAnsi="Times New Roman" w:cs="Times New Roman"/>
          <w:sz w:val="24"/>
          <w:szCs w:val="24"/>
          <w:lang w:val="en-US"/>
        </w:rPr>
      </w:pPr>
    </w:p>
    <w:p w14:paraId="5ACAEBFE" w14:textId="0F4E72C7" w:rsidR="006072ED" w:rsidRPr="00736D30" w:rsidRDefault="00C874A5" w:rsidP="00736D30">
      <w:pPr>
        <w:spacing w:line="480" w:lineRule="auto"/>
        <w:jc w:val="center"/>
        <w:rPr>
          <w:rFonts w:ascii="Times New Roman" w:hAnsi="Times New Roman" w:cs="Times New Roman"/>
          <w:sz w:val="24"/>
          <w:szCs w:val="24"/>
          <w:lang w:val="en-US"/>
        </w:rPr>
      </w:pPr>
      <w:r w:rsidRPr="00736D30">
        <w:rPr>
          <w:rFonts w:ascii="Times New Roman" w:hAnsi="Times New Roman" w:cs="Times New Roman"/>
          <w:sz w:val="24"/>
          <w:szCs w:val="24"/>
          <w:lang w:val="en-US"/>
        </w:rPr>
        <w:t>Medical Journal Entry</w:t>
      </w:r>
    </w:p>
    <w:p w14:paraId="52E07D0A" w14:textId="77777777" w:rsidR="006C61AD" w:rsidRPr="00736D30" w:rsidRDefault="006C61AD" w:rsidP="00736D30">
      <w:pPr>
        <w:spacing w:line="480" w:lineRule="auto"/>
        <w:jc w:val="center"/>
        <w:rPr>
          <w:rFonts w:ascii="Times New Roman" w:hAnsi="Times New Roman" w:cs="Times New Roman"/>
          <w:sz w:val="24"/>
          <w:szCs w:val="24"/>
          <w:lang w:val="en-US"/>
        </w:rPr>
      </w:pPr>
    </w:p>
    <w:p w14:paraId="1AC4E9EA" w14:textId="3F49042A" w:rsidR="00C874A5" w:rsidRPr="00736D30" w:rsidRDefault="00C874A5" w:rsidP="00736D30">
      <w:pPr>
        <w:spacing w:line="480" w:lineRule="auto"/>
        <w:jc w:val="center"/>
        <w:rPr>
          <w:rFonts w:ascii="Times New Roman" w:hAnsi="Times New Roman" w:cs="Times New Roman"/>
          <w:sz w:val="24"/>
          <w:szCs w:val="24"/>
          <w:lang w:val="en-US"/>
        </w:rPr>
      </w:pPr>
      <w:r w:rsidRPr="00736D30">
        <w:rPr>
          <w:rFonts w:ascii="Times New Roman" w:hAnsi="Times New Roman" w:cs="Times New Roman"/>
          <w:sz w:val="24"/>
          <w:szCs w:val="24"/>
          <w:lang w:val="en-US"/>
        </w:rPr>
        <w:t>Name</w:t>
      </w:r>
    </w:p>
    <w:p w14:paraId="7631580B" w14:textId="0D4B3298" w:rsidR="006C61AD" w:rsidRPr="00736D30" w:rsidRDefault="006C61AD" w:rsidP="00736D30">
      <w:pPr>
        <w:spacing w:line="480" w:lineRule="auto"/>
        <w:jc w:val="center"/>
        <w:rPr>
          <w:rFonts w:ascii="Times New Roman" w:hAnsi="Times New Roman" w:cs="Times New Roman"/>
          <w:sz w:val="24"/>
          <w:szCs w:val="24"/>
          <w:lang w:val="en-US"/>
        </w:rPr>
      </w:pPr>
      <w:r w:rsidRPr="00736D30">
        <w:rPr>
          <w:rFonts w:ascii="Times New Roman" w:hAnsi="Times New Roman" w:cs="Times New Roman"/>
          <w:sz w:val="24"/>
          <w:szCs w:val="24"/>
          <w:lang w:val="en-US"/>
        </w:rPr>
        <w:t>Institution</w:t>
      </w:r>
    </w:p>
    <w:p w14:paraId="47E535AD" w14:textId="1BA928A9" w:rsidR="00C874A5" w:rsidRPr="00736D30" w:rsidRDefault="00C874A5" w:rsidP="00736D30">
      <w:pPr>
        <w:spacing w:line="480" w:lineRule="auto"/>
        <w:jc w:val="center"/>
        <w:rPr>
          <w:rFonts w:ascii="Times New Roman" w:hAnsi="Times New Roman" w:cs="Times New Roman"/>
          <w:sz w:val="24"/>
          <w:szCs w:val="24"/>
          <w:lang w:val="en-US"/>
        </w:rPr>
      </w:pPr>
      <w:r w:rsidRPr="00736D30">
        <w:rPr>
          <w:rFonts w:ascii="Times New Roman" w:hAnsi="Times New Roman" w:cs="Times New Roman"/>
          <w:sz w:val="24"/>
          <w:szCs w:val="24"/>
          <w:lang w:val="en-US"/>
        </w:rPr>
        <w:t>Professor</w:t>
      </w:r>
    </w:p>
    <w:p w14:paraId="18E097CF" w14:textId="32ABA047" w:rsidR="006C61AD" w:rsidRPr="00736D30" w:rsidRDefault="006C61AD" w:rsidP="00736D30">
      <w:pPr>
        <w:spacing w:line="480" w:lineRule="auto"/>
        <w:jc w:val="center"/>
        <w:rPr>
          <w:rFonts w:ascii="Times New Roman" w:hAnsi="Times New Roman" w:cs="Times New Roman"/>
          <w:sz w:val="24"/>
          <w:szCs w:val="24"/>
          <w:lang w:val="en-US"/>
        </w:rPr>
      </w:pPr>
      <w:r w:rsidRPr="00736D30">
        <w:rPr>
          <w:rFonts w:ascii="Times New Roman" w:hAnsi="Times New Roman" w:cs="Times New Roman"/>
          <w:sz w:val="24"/>
          <w:szCs w:val="24"/>
          <w:lang w:val="en-US"/>
        </w:rPr>
        <w:t>Course</w:t>
      </w:r>
    </w:p>
    <w:p w14:paraId="7B4C216F" w14:textId="4AD77BA6" w:rsidR="006C61AD" w:rsidRPr="00736D30" w:rsidRDefault="006C61AD" w:rsidP="00736D30">
      <w:pPr>
        <w:spacing w:line="480" w:lineRule="auto"/>
        <w:jc w:val="center"/>
        <w:rPr>
          <w:rFonts w:ascii="Times New Roman" w:hAnsi="Times New Roman" w:cs="Times New Roman"/>
          <w:sz w:val="24"/>
          <w:szCs w:val="24"/>
          <w:lang w:val="en-US"/>
        </w:rPr>
      </w:pPr>
      <w:r w:rsidRPr="00736D30">
        <w:rPr>
          <w:rFonts w:ascii="Times New Roman" w:hAnsi="Times New Roman" w:cs="Times New Roman"/>
          <w:sz w:val="24"/>
          <w:szCs w:val="24"/>
          <w:lang w:val="en-US"/>
        </w:rPr>
        <w:t>Date</w:t>
      </w:r>
    </w:p>
    <w:p w14:paraId="094C01A5"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43E7CCAA"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2EA378AA"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5058E29B"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7CFA2DC5"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24BADA20"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2F4EC555"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7BF52132"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06077AC5"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67FD97ED" w14:textId="77777777" w:rsidR="00A16BDD" w:rsidRPr="00736D30" w:rsidRDefault="00A16BDD" w:rsidP="00736D30">
      <w:pPr>
        <w:spacing w:line="480" w:lineRule="auto"/>
        <w:jc w:val="center"/>
        <w:rPr>
          <w:rFonts w:ascii="Times New Roman" w:hAnsi="Times New Roman" w:cs="Times New Roman"/>
          <w:sz w:val="24"/>
          <w:szCs w:val="24"/>
          <w:lang w:val="en-US"/>
        </w:rPr>
      </w:pPr>
    </w:p>
    <w:p w14:paraId="5E3B1533" w14:textId="77777777" w:rsidR="00C874A5" w:rsidRPr="00736D30" w:rsidRDefault="00C874A5" w:rsidP="00736D30">
      <w:pPr>
        <w:spacing w:line="480" w:lineRule="auto"/>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2122"/>
        <w:gridCol w:w="6894"/>
      </w:tblGrid>
      <w:tr w:rsidR="004F025A" w:rsidRPr="00736D30" w14:paraId="4F48268E" w14:textId="77777777" w:rsidTr="004F025A">
        <w:tc>
          <w:tcPr>
            <w:tcW w:w="2122" w:type="dxa"/>
          </w:tcPr>
          <w:p w14:paraId="42172E76" w14:textId="2A3949D1" w:rsidR="004F025A" w:rsidRPr="00736D30" w:rsidRDefault="004F025A"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lastRenderedPageBreak/>
              <w:t>Concepts</w:t>
            </w:r>
          </w:p>
        </w:tc>
        <w:tc>
          <w:tcPr>
            <w:tcW w:w="6894" w:type="dxa"/>
          </w:tcPr>
          <w:p w14:paraId="0E5E35F1" w14:textId="31AFCD5D" w:rsidR="004F025A" w:rsidRPr="00736D30" w:rsidRDefault="00AD77DD"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Lung expansion is characterized by respiratory failure, pulmonary complications, pneumonia and atelectasis.</w:t>
            </w:r>
            <w:r w:rsidR="00CD0165" w:rsidRPr="00736D30">
              <w:rPr>
                <w:rFonts w:ascii="Times New Roman" w:hAnsi="Times New Roman" w:cs="Times New Roman"/>
                <w:sz w:val="24"/>
                <w:szCs w:val="24"/>
                <w:lang w:val="en-US"/>
              </w:rPr>
              <w:t xml:space="preserve"> Hypoxemic respiratory failure is </w:t>
            </w:r>
            <w:r w:rsidR="00BC4554" w:rsidRPr="00736D30">
              <w:rPr>
                <w:rFonts w:ascii="Times New Roman" w:hAnsi="Times New Roman" w:cs="Times New Roman"/>
                <w:sz w:val="24"/>
                <w:szCs w:val="24"/>
                <w:lang w:val="en-US"/>
              </w:rPr>
              <w:t xml:space="preserve">correlated </w:t>
            </w:r>
            <w:r w:rsidR="00CD0165" w:rsidRPr="00736D30">
              <w:rPr>
                <w:rFonts w:ascii="Times New Roman" w:hAnsi="Times New Roman" w:cs="Times New Roman"/>
                <w:sz w:val="24"/>
                <w:szCs w:val="24"/>
                <w:lang w:val="en-US"/>
              </w:rPr>
              <w:t>with</w:t>
            </w:r>
            <w:r w:rsidRPr="00736D30">
              <w:rPr>
                <w:rFonts w:ascii="Times New Roman" w:hAnsi="Times New Roman" w:cs="Times New Roman"/>
                <w:sz w:val="24"/>
                <w:szCs w:val="24"/>
                <w:lang w:val="en-US"/>
              </w:rPr>
              <w:t xml:space="preserve"> </w:t>
            </w:r>
            <w:r w:rsidR="00CD0165" w:rsidRPr="00736D30">
              <w:rPr>
                <w:rFonts w:ascii="Times New Roman" w:hAnsi="Times New Roman" w:cs="Times New Roman"/>
                <w:sz w:val="24"/>
                <w:szCs w:val="24"/>
                <w:lang w:val="en-US"/>
              </w:rPr>
              <w:t>postoperative pulmonary complications.</w:t>
            </w:r>
            <w:r w:rsidR="00BC4554" w:rsidRPr="00736D30">
              <w:rPr>
                <w:rFonts w:ascii="Times New Roman" w:hAnsi="Times New Roman" w:cs="Times New Roman"/>
                <w:sz w:val="24"/>
                <w:szCs w:val="24"/>
                <w:lang w:val="en-US"/>
              </w:rPr>
              <w:t xml:space="preserve"> Cardiac bypass is also associated with complications of lung expansion.</w:t>
            </w:r>
            <w:r w:rsidR="00CD0165" w:rsidRPr="00736D30">
              <w:rPr>
                <w:rFonts w:ascii="Times New Roman" w:hAnsi="Times New Roman" w:cs="Times New Roman"/>
                <w:sz w:val="24"/>
                <w:szCs w:val="24"/>
                <w:lang w:val="en-US"/>
              </w:rPr>
              <w:t xml:space="preserve"> </w:t>
            </w:r>
            <w:r w:rsidR="00FD35B6" w:rsidRPr="00736D30">
              <w:rPr>
                <w:rFonts w:ascii="Times New Roman" w:hAnsi="Times New Roman" w:cs="Times New Roman"/>
                <w:sz w:val="24"/>
                <w:szCs w:val="24"/>
                <w:lang w:val="en-US"/>
              </w:rPr>
              <w:t>Reducing postoperative pulmonary complications can be enhanced by allowing the patients to move about</w:t>
            </w:r>
            <w:r w:rsidRPr="00736D30">
              <w:rPr>
                <w:rFonts w:ascii="Times New Roman" w:hAnsi="Times New Roman" w:cs="Times New Roman"/>
                <w:sz w:val="24"/>
                <w:szCs w:val="24"/>
                <w:lang w:val="en-US"/>
              </w:rPr>
              <w:t xml:space="preserve"> or instructing them to actively sit up in a chair. Device specific therapies are also used as a therapy for managing lung expansion through improving breathing patterns of the patient. Other kinds of therapy used to deal with lung expansion is the incenti</w:t>
            </w:r>
            <w:r w:rsidR="00CD0165" w:rsidRPr="00736D30">
              <w:rPr>
                <w:rFonts w:ascii="Times New Roman" w:hAnsi="Times New Roman" w:cs="Times New Roman"/>
                <w:sz w:val="24"/>
                <w:szCs w:val="24"/>
                <w:lang w:val="en-US"/>
              </w:rPr>
              <w:t>ve spirometry (IS), coughing,</w:t>
            </w:r>
            <w:r w:rsidRPr="00736D30">
              <w:rPr>
                <w:rFonts w:ascii="Times New Roman" w:hAnsi="Times New Roman" w:cs="Times New Roman"/>
                <w:sz w:val="24"/>
                <w:szCs w:val="24"/>
                <w:lang w:val="en-US"/>
              </w:rPr>
              <w:t xml:space="preserve"> deep breathing</w:t>
            </w:r>
            <w:r w:rsidR="00CD0165" w:rsidRPr="00736D30">
              <w:rPr>
                <w:rFonts w:ascii="Times New Roman" w:hAnsi="Times New Roman" w:cs="Times New Roman"/>
                <w:sz w:val="24"/>
                <w:szCs w:val="24"/>
                <w:lang w:val="en-US"/>
              </w:rPr>
              <w:t>, physiotherapy and surgery of the upper abdomen</w:t>
            </w:r>
            <w:r w:rsidR="00A16BDD" w:rsidRPr="00736D30">
              <w:rPr>
                <w:rFonts w:ascii="Times New Roman" w:hAnsi="Times New Roman" w:cs="Times New Roman"/>
                <w:sz w:val="24"/>
                <w:szCs w:val="24"/>
                <w:lang w:val="en-US"/>
              </w:rPr>
              <w:t xml:space="preserve"> (</w:t>
            </w:r>
            <w:proofErr w:type="spellStart"/>
            <w:r w:rsidR="00A16BDD" w:rsidRPr="00736D30">
              <w:rPr>
                <w:rFonts w:ascii="Times New Roman" w:hAnsi="Times New Roman" w:cs="Times New Roman"/>
                <w:sz w:val="24"/>
                <w:szCs w:val="24"/>
                <w:lang w:val="en-US"/>
              </w:rPr>
              <w:t>Lumb</w:t>
            </w:r>
            <w:proofErr w:type="spellEnd"/>
            <w:r w:rsidR="00A16BDD" w:rsidRPr="00736D30">
              <w:rPr>
                <w:rFonts w:ascii="Times New Roman" w:hAnsi="Times New Roman" w:cs="Times New Roman"/>
                <w:sz w:val="24"/>
                <w:szCs w:val="24"/>
                <w:lang w:val="en-US"/>
              </w:rPr>
              <w:t xml:space="preserve"> &amp; </w:t>
            </w:r>
            <w:proofErr w:type="spellStart"/>
            <w:r w:rsidR="00A16BDD" w:rsidRPr="00736D30">
              <w:rPr>
                <w:rFonts w:ascii="Times New Roman" w:hAnsi="Times New Roman" w:cs="Times New Roman"/>
                <w:sz w:val="24"/>
                <w:szCs w:val="24"/>
                <w:lang w:val="en-US"/>
              </w:rPr>
              <w:t>Miskovic</w:t>
            </w:r>
            <w:proofErr w:type="spellEnd"/>
            <w:r w:rsidR="00A16BDD" w:rsidRPr="00736D30">
              <w:rPr>
                <w:rFonts w:ascii="Times New Roman" w:hAnsi="Times New Roman" w:cs="Times New Roman"/>
                <w:sz w:val="24"/>
                <w:szCs w:val="24"/>
                <w:lang w:val="en-US"/>
              </w:rPr>
              <w:t>, 2017)</w:t>
            </w:r>
            <w:r w:rsidR="00CD0165" w:rsidRPr="00736D30">
              <w:rPr>
                <w:rFonts w:ascii="Times New Roman" w:hAnsi="Times New Roman" w:cs="Times New Roman"/>
                <w:sz w:val="24"/>
                <w:szCs w:val="24"/>
                <w:lang w:val="en-US"/>
              </w:rPr>
              <w:t>.</w:t>
            </w:r>
          </w:p>
        </w:tc>
      </w:tr>
      <w:tr w:rsidR="004F025A" w:rsidRPr="00736D30" w14:paraId="681DE54B" w14:textId="77777777" w:rsidTr="004F025A">
        <w:tc>
          <w:tcPr>
            <w:tcW w:w="2122" w:type="dxa"/>
          </w:tcPr>
          <w:p w14:paraId="1DFC04C8" w14:textId="52A8E84F" w:rsidR="004F025A" w:rsidRPr="00736D30" w:rsidRDefault="004F025A"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Equipment</w:t>
            </w:r>
          </w:p>
        </w:tc>
        <w:tc>
          <w:tcPr>
            <w:tcW w:w="6894" w:type="dxa"/>
          </w:tcPr>
          <w:p w14:paraId="68503569" w14:textId="7608B7D1" w:rsidR="004F025A" w:rsidRPr="00736D30" w:rsidRDefault="00BC4554"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 xml:space="preserve">Various equipment are used in the diagnosis and providing therapeutic assistance to lung expansion complications. Such equipment include incentive spirometry, </w:t>
            </w:r>
            <w:proofErr w:type="spellStart"/>
            <w:r w:rsidRPr="00736D30">
              <w:rPr>
                <w:rFonts w:ascii="Times New Roman" w:hAnsi="Times New Roman" w:cs="Times New Roman"/>
                <w:sz w:val="24"/>
                <w:szCs w:val="24"/>
                <w:lang w:val="en-US"/>
              </w:rPr>
              <w:t>EzPAP</w:t>
            </w:r>
            <w:proofErr w:type="spellEnd"/>
            <w:r w:rsidRPr="00736D30">
              <w:rPr>
                <w:rFonts w:ascii="Times New Roman" w:hAnsi="Times New Roman" w:cs="Times New Roman"/>
                <w:sz w:val="24"/>
                <w:szCs w:val="24"/>
                <w:lang w:val="en-US"/>
              </w:rPr>
              <w:t xml:space="preserve"> which help patients breath normally by providing a positive airway pressure, electrical impedance tomography</w:t>
            </w:r>
            <w:r w:rsidR="00E81588" w:rsidRPr="00736D30">
              <w:rPr>
                <w:rFonts w:ascii="Times New Roman" w:hAnsi="Times New Roman" w:cs="Times New Roman"/>
                <w:sz w:val="24"/>
                <w:szCs w:val="24"/>
                <w:lang w:val="en-US"/>
              </w:rPr>
              <w:t xml:space="preserve"> which enhances ventilation distribution through generation of breath-by-breath images. EIT belts and ICU beds with fattened mattresses and pressure settings can also be used to manage lung expansion.</w:t>
            </w:r>
          </w:p>
        </w:tc>
      </w:tr>
      <w:tr w:rsidR="004F025A" w:rsidRPr="00736D30" w14:paraId="265B2541" w14:textId="77777777" w:rsidTr="004F025A">
        <w:tc>
          <w:tcPr>
            <w:tcW w:w="2122" w:type="dxa"/>
          </w:tcPr>
          <w:p w14:paraId="5DF25A84" w14:textId="7D25A1B2" w:rsidR="004F025A" w:rsidRPr="00736D30" w:rsidRDefault="004F025A"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Pharmacology</w:t>
            </w:r>
          </w:p>
        </w:tc>
        <w:tc>
          <w:tcPr>
            <w:tcW w:w="6894" w:type="dxa"/>
          </w:tcPr>
          <w:p w14:paraId="358765DA" w14:textId="4E99DB09" w:rsidR="004F025A" w:rsidRPr="00736D30" w:rsidRDefault="004D0937"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 xml:space="preserve">The administration of furosemide </w:t>
            </w:r>
            <w:r w:rsidR="00E63399" w:rsidRPr="00736D30">
              <w:rPr>
                <w:rFonts w:ascii="Times New Roman" w:hAnsi="Times New Roman" w:cs="Times New Roman"/>
                <w:sz w:val="24"/>
                <w:szCs w:val="24"/>
                <w:lang w:val="en-US"/>
              </w:rPr>
              <w:t>bolus</w:t>
            </w:r>
            <w:r w:rsidRPr="00736D30">
              <w:rPr>
                <w:rFonts w:ascii="Times New Roman" w:hAnsi="Times New Roman" w:cs="Times New Roman"/>
                <w:sz w:val="24"/>
                <w:szCs w:val="24"/>
                <w:lang w:val="en-US"/>
              </w:rPr>
              <w:t xml:space="preserve"> after the patients has received an aggressive fluid removal depicts changes in end-expiratory lung impedance</w:t>
            </w:r>
            <w:r w:rsidR="00C2129C" w:rsidRPr="00736D30">
              <w:rPr>
                <w:rFonts w:ascii="Times New Roman" w:hAnsi="Times New Roman" w:cs="Times New Roman"/>
                <w:sz w:val="24"/>
                <w:szCs w:val="24"/>
                <w:lang w:val="en-US"/>
              </w:rPr>
              <w:t xml:space="preserve"> </w:t>
            </w:r>
            <w:r w:rsidRPr="00736D30">
              <w:rPr>
                <w:rFonts w:ascii="Times New Roman" w:hAnsi="Times New Roman" w:cs="Times New Roman"/>
                <w:sz w:val="24"/>
                <w:szCs w:val="24"/>
                <w:lang w:val="en-US"/>
              </w:rPr>
              <w:t>(EELI) and no changes in the distribution of ventilation</w:t>
            </w:r>
            <w:r w:rsidR="00C2129C" w:rsidRPr="00736D30">
              <w:rPr>
                <w:rFonts w:ascii="Times New Roman" w:hAnsi="Times New Roman" w:cs="Times New Roman"/>
                <w:sz w:val="24"/>
                <w:szCs w:val="24"/>
                <w:lang w:val="en-US"/>
              </w:rPr>
              <w:t xml:space="preserve"> occurring at the respiratory system compliance. When nitrogen wash-in or wash out is applied a notable increase in volume </w:t>
            </w:r>
            <w:r w:rsidR="00C2129C" w:rsidRPr="00736D30">
              <w:rPr>
                <w:rFonts w:ascii="Times New Roman" w:hAnsi="Times New Roman" w:cs="Times New Roman"/>
                <w:sz w:val="24"/>
                <w:szCs w:val="24"/>
                <w:lang w:val="en-US"/>
              </w:rPr>
              <w:lastRenderedPageBreak/>
              <w:t>is noted. Giving a fluid bolus to the patient leads to the decrease in EELI</w:t>
            </w:r>
            <w:r w:rsidR="00B30289" w:rsidRPr="00736D30">
              <w:rPr>
                <w:rFonts w:ascii="Times New Roman" w:hAnsi="Times New Roman" w:cs="Times New Roman"/>
                <w:sz w:val="24"/>
                <w:szCs w:val="24"/>
                <w:lang w:val="en-US"/>
              </w:rPr>
              <w:t xml:space="preserve"> with no changes in respiratory system mechanics. However, the effect is lost after a post-therapy involving quiet breathing.</w:t>
            </w:r>
          </w:p>
        </w:tc>
      </w:tr>
      <w:tr w:rsidR="004F025A" w:rsidRPr="00736D30" w14:paraId="6AD1245B" w14:textId="77777777" w:rsidTr="004F025A">
        <w:tc>
          <w:tcPr>
            <w:tcW w:w="2122" w:type="dxa"/>
          </w:tcPr>
          <w:p w14:paraId="11B0E5EA" w14:textId="5AA4D0FF" w:rsidR="004F025A" w:rsidRPr="00736D30" w:rsidRDefault="004F025A"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lastRenderedPageBreak/>
              <w:t>Patient Assessment</w:t>
            </w:r>
          </w:p>
        </w:tc>
        <w:tc>
          <w:tcPr>
            <w:tcW w:w="6894" w:type="dxa"/>
          </w:tcPr>
          <w:p w14:paraId="4A70F76E" w14:textId="0B6555C5" w:rsidR="004F025A" w:rsidRPr="00736D30" w:rsidRDefault="00882CAD"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Device specific therapies have been used to improve lung function through assessment of breathing patterns and changes in functional residual capacity. Another means of assessment is the use of incentive spirometry to evaluate functional residual capacity. Coughing exercises and huffing are also used as an alternative to incentive spirometry.</w:t>
            </w:r>
            <w:r w:rsidR="008F0DC1" w:rsidRPr="00736D30">
              <w:rPr>
                <w:rFonts w:ascii="Times New Roman" w:hAnsi="Times New Roman" w:cs="Times New Roman"/>
                <w:sz w:val="24"/>
                <w:szCs w:val="24"/>
                <w:lang w:val="en-US"/>
              </w:rPr>
              <w:t xml:space="preserve"> Psychotherapy can also be used as an assessment tool after lung resection surgery. The end-expiratory lung volume is used to assess the lungs ventral volume. Tidal variation is used to assess the changes in ventilation to a particular region or changes in regional compliance. By looking at the shifts of ventilation distribution to the dorsal region during breathing, dorsal region compliance can effectively be assessed.</w:t>
            </w:r>
            <w:r w:rsidR="0060610A" w:rsidRPr="00736D30">
              <w:rPr>
                <w:rFonts w:ascii="Times New Roman" w:hAnsi="Times New Roman" w:cs="Times New Roman"/>
                <w:sz w:val="24"/>
                <w:szCs w:val="24"/>
                <w:lang w:val="en-US"/>
              </w:rPr>
              <w:t xml:space="preserve"> A quiet breathing of about 2-5 minutes is used to check whether the patient is stable before therapy is offered.</w:t>
            </w:r>
          </w:p>
        </w:tc>
      </w:tr>
      <w:tr w:rsidR="004F025A" w:rsidRPr="00736D30" w14:paraId="132A5C7A" w14:textId="77777777" w:rsidTr="004F025A">
        <w:tc>
          <w:tcPr>
            <w:tcW w:w="2122" w:type="dxa"/>
          </w:tcPr>
          <w:p w14:paraId="746C9863" w14:textId="5B3BB3F6" w:rsidR="004F025A" w:rsidRPr="00736D30" w:rsidRDefault="004F025A"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Arterial blood gases with interpretation</w:t>
            </w:r>
          </w:p>
        </w:tc>
        <w:tc>
          <w:tcPr>
            <w:tcW w:w="6894" w:type="dxa"/>
          </w:tcPr>
          <w:p w14:paraId="051F0C5F" w14:textId="4E0B505C" w:rsidR="00E63399" w:rsidRPr="00736D30" w:rsidRDefault="006D122F"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Increase in PEEP up to 25ml of water in the dorsal and ventral regions is an indication of rise in pH and this means there is respiratory alk</w:t>
            </w:r>
            <w:r w:rsidR="00E63399" w:rsidRPr="00736D30">
              <w:rPr>
                <w:rFonts w:ascii="Times New Roman" w:hAnsi="Times New Roman" w:cs="Times New Roman"/>
                <w:sz w:val="24"/>
                <w:szCs w:val="24"/>
                <w:lang w:val="en-US"/>
              </w:rPr>
              <w:t>al</w:t>
            </w:r>
            <w:r w:rsidRPr="00736D30">
              <w:rPr>
                <w:rFonts w:ascii="Times New Roman" w:hAnsi="Times New Roman" w:cs="Times New Roman"/>
                <w:sz w:val="24"/>
                <w:szCs w:val="24"/>
                <w:lang w:val="en-US"/>
              </w:rPr>
              <w:t>osis with diuretics.</w:t>
            </w:r>
            <w:r w:rsidR="00E63399" w:rsidRPr="00736D30">
              <w:rPr>
                <w:rFonts w:ascii="Times New Roman" w:hAnsi="Times New Roman" w:cs="Times New Roman"/>
                <w:sz w:val="24"/>
                <w:szCs w:val="24"/>
                <w:lang w:val="en-US"/>
              </w:rPr>
              <w:t xml:space="preserve"> There is airway obstruction on the ventral and dorsal regions including respiratory restriction</w:t>
            </w:r>
            <w:r w:rsidR="00C874A5" w:rsidRPr="00736D30">
              <w:rPr>
                <w:rFonts w:ascii="Times New Roman" w:hAnsi="Times New Roman" w:cs="Times New Roman"/>
                <w:sz w:val="24"/>
                <w:szCs w:val="24"/>
                <w:lang w:val="en-US"/>
              </w:rPr>
              <w:t xml:space="preserve"> (Kaufman, 2020)</w:t>
            </w:r>
            <w:r w:rsidR="00E63399" w:rsidRPr="00736D30">
              <w:rPr>
                <w:rFonts w:ascii="Times New Roman" w:hAnsi="Times New Roman" w:cs="Times New Roman"/>
                <w:sz w:val="24"/>
                <w:szCs w:val="24"/>
                <w:lang w:val="en-US"/>
              </w:rPr>
              <w:t>.</w:t>
            </w:r>
          </w:p>
        </w:tc>
      </w:tr>
      <w:tr w:rsidR="004F025A" w:rsidRPr="00736D30" w14:paraId="147A4C27" w14:textId="77777777" w:rsidTr="004F025A">
        <w:tc>
          <w:tcPr>
            <w:tcW w:w="2122" w:type="dxa"/>
          </w:tcPr>
          <w:p w14:paraId="5B2A5E21" w14:textId="434E0CF0" w:rsidR="004F025A" w:rsidRPr="00736D30" w:rsidRDefault="004F025A"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Type of airway</w:t>
            </w:r>
          </w:p>
        </w:tc>
        <w:tc>
          <w:tcPr>
            <w:tcW w:w="6894" w:type="dxa"/>
          </w:tcPr>
          <w:p w14:paraId="0369FF78" w14:textId="55FAFC70" w:rsidR="004F025A" w:rsidRPr="00736D30" w:rsidRDefault="0033746C"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 xml:space="preserve">There is obstruction of bronchial airway as a result of atelectasis and which impair the functional residual capacity. There may be </w:t>
            </w:r>
            <w:r w:rsidRPr="00736D30">
              <w:rPr>
                <w:rFonts w:ascii="Times New Roman" w:hAnsi="Times New Roman" w:cs="Times New Roman"/>
                <w:sz w:val="24"/>
                <w:szCs w:val="24"/>
                <w:lang w:val="en-US"/>
              </w:rPr>
              <w:lastRenderedPageBreak/>
              <w:t>respiratory failure and pulmonary complications detected by incentive spirometry.</w:t>
            </w:r>
          </w:p>
        </w:tc>
      </w:tr>
      <w:tr w:rsidR="004F025A" w:rsidRPr="00736D30" w14:paraId="44F825EF" w14:textId="77777777" w:rsidTr="004F025A">
        <w:tc>
          <w:tcPr>
            <w:tcW w:w="2122" w:type="dxa"/>
          </w:tcPr>
          <w:p w14:paraId="32C8386E" w14:textId="3985117E" w:rsidR="004F025A" w:rsidRPr="00736D30" w:rsidRDefault="004F025A" w:rsidP="00736D30">
            <w:pPr>
              <w:spacing w:line="480" w:lineRule="auto"/>
              <w:rPr>
                <w:rFonts w:ascii="Times New Roman" w:hAnsi="Times New Roman" w:cs="Times New Roman"/>
                <w:sz w:val="24"/>
                <w:szCs w:val="24"/>
              </w:rPr>
            </w:pPr>
            <w:r w:rsidRPr="00736D30">
              <w:rPr>
                <w:rFonts w:ascii="Times New Roman" w:hAnsi="Times New Roman" w:cs="Times New Roman"/>
                <w:sz w:val="24"/>
                <w:szCs w:val="24"/>
              </w:rPr>
              <w:lastRenderedPageBreak/>
              <w:t>oxygen adjunct and FiO2</w:t>
            </w:r>
          </w:p>
        </w:tc>
        <w:tc>
          <w:tcPr>
            <w:tcW w:w="6894" w:type="dxa"/>
          </w:tcPr>
          <w:p w14:paraId="6175914E" w14:textId="4290B93B" w:rsidR="006D122F" w:rsidRPr="00736D30" w:rsidRDefault="006D122F" w:rsidP="00736D30">
            <w:pPr>
              <w:spacing w:line="480" w:lineRule="auto"/>
              <w:rPr>
                <w:rFonts w:ascii="Times New Roman" w:hAnsi="Times New Roman" w:cs="Times New Roman"/>
                <w:sz w:val="24"/>
                <w:szCs w:val="24"/>
                <w:lang w:val="en-US"/>
              </w:rPr>
            </w:pPr>
            <w:r w:rsidRPr="00736D30">
              <w:rPr>
                <w:rFonts w:ascii="Times New Roman" w:hAnsi="Times New Roman" w:cs="Times New Roman"/>
                <w:sz w:val="24"/>
                <w:szCs w:val="24"/>
                <w:lang w:val="en-US"/>
              </w:rPr>
              <w:t>The results by PEEP indicating the patient with hypoxemic respiratory failure implies the presence of a lung disease, serious anemia and hence low FIO2.</w:t>
            </w:r>
          </w:p>
          <w:p w14:paraId="462999A5" w14:textId="651FBF59" w:rsidR="006D122F" w:rsidRPr="00736D30" w:rsidRDefault="006D122F" w:rsidP="00736D30">
            <w:pPr>
              <w:spacing w:line="480" w:lineRule="auto"/>
              <w:rPr>
                <w:rFonts w:ascii="Times New Roman" w:hAnsi="Times New Roman" w:cs="Times New Roman"/>
                <w:sz w:val="24"/>
                <w:szCs w:val="24"/>
                <w:lang w:val="en-US"/>
              </w:rPr>
            </w:pPr>
          </w:p>
        </w:tc>
      </w:tr>
    </w:tbl>
    <w:p w14:paraId="70EC2181" w14:textId="2DCE41E0" w:rsidR="004F025A" w:rsidRPr="00736D30" w:rsidRDefault="004F025A" w:rsidP="00736D30">
      <w:pPr>
        <w:spacing w:line="480" w:lineRule="auto"/>
        <w:rPr>
          <w:rFonts w:ascii="Times New Roman" w:hAnsi="Times New Roman" w:cs="Times New Roman"/>
          <w:sz w:val="24"/>
          <w:szCs w:val="24"/>
        </w:rPr>
      </w:pPr>
    </w:p>
    <w:p w14:paraId="06BA606D" w14:textId="77777777" w:rsidR="00A16BDD" w:rsidRPr="00736D30" w:rsidRDefault="00A16BDD" w:rsidP="00736D30">
      <w:pPr>
        <w:spacing w:line="480" w:lineRule="auto"/>
        <w:rPr>
          <w:rFonts w:ascii="Times New Roman" w:hAnsi="Times New Roman" w:cs="Times New Roman"/>
          <w:sz w:val="24"/>
          <w:szCs w:val="24"/>
          <w:lang w:val="en-US"/>
        </w:rPr>
      </w:pPr>
    </w:p>
    <w:p w14:paraId="3711FCB5" w14:textId="77777777" w:rsidR="00A16BDD" w:rsidRPr="00736D30" w:rsidRDefault="00A16BDD" w:rsidP="00736D30">
      <w:pPr>
        <w:spacing w:line="480" w:lineRule="auto"/>
        <w:rPr>
          <w:rFonts w:ascii="Times New Roman" w:hAnsi="Times New Roman" w:cs="Times New Roman"/>
          <w:sz w:val="24"/>
          <w:szCs w:val="24"/>
          <w:lang w:val="en-US"/>
        </w:rPr>
      </w:pPr>
    </w:p>
    <w:p w14:paraId="48186DB1" w14:textId="77777777" w:rsidR="00A16BDD" w:rsidRPr="00736D30" w:rsidRDefault="00A16BDD" w:rsidP="00736D30">
      <w:pPr>
        <w:spacing w:line="480" w:lineRule="auto"/>
        <w:rPr>
          <w:rFonts w:ascii="Times New Roman" w:hAnsi="Times New Roman" w:cs="Times New Roman"/>
          <w:sz w:val="24"/>
          <w:szCs w:val="24"/>
          <w:lang w:val="en-US"/>
        </w:rPr>
      </w:pPr>
    </w:p>
    <w:p w14:paraId="6C34F325" w14:textId="77777777" w:rsidR="00A16BDD" w:rsidRPr="00736D30" w:rsidRDefault="00A16BDD" w:rsidP="00736D30">
      <w:pPr>
        <w:spacing w:line="480" w:lineRule="auto"/>
        <w:rPr>
          <w:rFonts w:ascii="Times New Roman" w:hAnsi="Times New Roman" w:cs="Times New Roman"/>
          <w:sz w:val="24"/>
          <w:szCs w:val="24"/>
          <w:lang w:val="en-US"/>
        </w:rPr>
      </w:pPr>
    </w:p>
    <w:p w14:paraId="4660B619" w14:textId="77777777" w:rsidR="00A16BDD" w:rsidRPr="00736D30" w:rsidRDefault="00A16BDD" w:rsidP="00736D30">
      <w:pPr>
        <w:spacing w:line="480" w:lineRule="auto"/>
        <w:rPr>
          <w:rFonts w:ascii="Times New Roman" w:hAnsi="Times New Roman" w:cs="Times New Roman"/>
          <w:sz w:val="24"/>
          <w:szCs w:val="24"/>
          <w:lang w:val="en-US"/>
        </w:rPr>
      </w:pPr>
    </w:p>
    <w:p w14:paraId="0736A70A" w14:textId="77777777" w:rsidR="00A16BDD" w:rsidRPr="00736D30" w:rsidRDefault="00A16BDD" w:rsidP="00736D30">
      <w:pPr>
        <w:spacing w:line="480" w:lineRule="auto"/>
        <w:rPr>
          <w:rFonts w:ascii="Times New Roman" w:hAnsi="Times New Roman" w:cs="Times New Roman"/>
          <w:sz w:val="24"/>
          <w:szCs w:val="24"/>
          <w:lang w:val="en-US"/>
        </w:rPr>
      </w:pPr>
    </w:p>
    <w:p w14:paraId="56B2E8D2" w14:textId="77777777" w:rsidR="00A16BDD" w:rsidRPr="00736D30" w:rsidRDefault="00A16BDD" w:rsidP="00736D30">
      <w:pPr>
        <w:spacing w:line="480" w:lineRule="auto"/>
        <w:rPr>
          <w:rFonts w:ascii="Times New Roman" w:hAnsi="Times New Roman" w:cs="Times New Roman"/>
          <w:sz w:val="24"/>
          <w:szCs w:val="24"/>
          <w:lang w:val="en-US"/>
        </w:rPr>
      </w:pPr>
    </w:p>
    <w:p w14:paraId="289AB75A" w14:textId="77777777" w:rsidR="00A16BDD" w:rsidRPr="00736D30" w:rsidRDefault="00A16BDD" w:rsidP="00736D30">
      <w:pPr>
        <w:spacing w:line="480" w:lineRule="auto"/>
        <w:rPr>
          <w:rFonts w:ascii="Times New Roman" w:hAnsi="Times New Roman" w:cs="Times New Roman"/>
          <w:sz w:val="24"/>
          <w:szCs w:val="24"/>
          <w:lang w:val="en-US"/>
        </w:rPr>
      </w:pPr>
    </w:p>
    <w:p w14:paraId="5278C339" w14:textId="77777777" w:rsidR="00A16BDD" w:rsidRPr="00736D30" w:rsidRDefault="00A16BDD" w:rsidP="00736D30">
      <w:pPr>
        <w:spacing w:line="480" w:lineRule="auto"/>
        <w:rPr>
          <w:rFonts w:ascii="Times New Roman" w:hAnsi="Times New Roman" w:cs="Times New Roman"/>
          <w:sz w:val="24"/>
          <w:szCs w:val="24"/>
          <w:lang w:val="en-US"/>
        </w:rPr>
      </w:pPr>
    </w:p>
    <w:p w14:paraId="7DE63F24" w14:textId="77777777" w:rsidR="00A16BDD" w:rsidRPr="00736D30" w:rsidRDefault="00A16BDD" w:rsidP="00736D30">
      <w:pPr>
        <w:spacing w:line="480" w:lineRule="auto"/>
        <w:rPr>
          <w:rFonts w:ascii="Times New Roman" w:hAnsi="Times New Roman" w:cs="Times New Roman"/>
          <w:sz w:val="24"/>
          <w:szCs w:val="24"/>
          <w:lang w:val="en-US"/>
        </w:rPr>
      </w:pPr>
    </w:p>
    <w:p w14:paraId="05113554" w14:textId="77777777" w:rsidR="00A16BDD" w:rsidRPr="00736D30" w:rsidRDefault="00A16BDD" w:rsidP="00736D30">
      <w:pPr>
        <w:spacing w:line="480" w:lineRule="auto"/>
        <w:rPr>
          <w:rFonts w:ascii="Times New Roman" w:hAnsi="Times New Roman" w:cs="Times New Roman"/>
          <w:sz w:val="24"/>
          <w:szCs w:val="24"/>
          <w:lang w:val="en-US"/>
        </w:rPr>
      </w:pPr>
    </w:p>
    <w:p w14:paraId="003784B4" w14:textId="77777777" w:rsidR="00A16BDD" w:rsidRPr="00736D30" w:rsidRDefault="00A16BDD" w:rsidP="00736D30">
      <w:pPr>
        <w:spacing w:line="480" w:lineRule="auto"/>
        <w:rPr>
          <w:rFonts w:ascii="Times New Roman" w:hAnsi="Times New Roman" w:cs="Times New Roman"/>
          <w:sz w:val="24"/>
          <w:szCs w:val="24"/>
          <w:lang w:val="en-US"/>
        </w:rPr>
      </w:pPr>
    </w:p>
    <w:p w14:paraId="6CEA8ECE" w14:textId="77777777" w:rsidR="00A16BDD" w:rsidRPr="00736D30" w:rsidRDefault="00A16BDD" w:rsidP="00736D30">
      <w:pPr>
        <w:spacing w:line="480" w:lineRule="auto"/>
        <w:rPr>
          <w:rFonts w:ascii="Times New Roman" w:hAnsi="Times New Roman" w:cs="Times New Roman"/>
          <w:sz w:val="24"/>
          <w:szCs w:val="24"/>
          <w:lang w:val="en-US"/>
        </w:rPr>
      </w:pPr>
    </w:p>
    <w:p w14:paraId="072F251D" w14:textId="77777777" w:rsidR="00736D30" w:rsidRDefault="00736D30" w:rsidP="00736D30">
      <w:pPr>
        <w:spacing w:line="480" w:lineRule="auto"/>
        <w:rPr>
          <w:rFonts w:ascii="Times New Roman" w:hAnsi="Times New Roman" w:cs="Times New Roman"/>
          <w:sz w:val="24"/>
          <w:szCs w:val="24"/>
          <w:lang w:val="en-US"/>
        </w:rPr>
      </w:pPr>
    </w:p>
    <w:p w14:paraId="5CC20CB5" w14:textId="3D733117" w:rsidR="004F025A" w:rsidRPr="00736D30" w:rsidRDefault="00736D30" w:rsidP="00736D30">
      <w:pPr>
        <w:spacing w:line="480" w:lineRule="auto"/>
        <w:jc w:val="center"/>
        <w:rPr>
          <w:rFonts w:ascii="Times New Roman" w:hAnsi="Times New Roman" w:cs="Times New Roman"/>
          <w:sz w:val="24"/>
          <w:szCs w:val="24"/>
          <w:lang w:val="en-US"/>
        </w:rPr>
      </w:pPr>
      <w:bookmarkStart w:id="0" w:name="_GoBack"/>
      <w:r>
        <w:rPr>
          <w:rFonts w:ascii="Times New Roman" w:hAnsi="Times New Roman" w:cs="Times New Roman"/>
          <w:sz w:val="24"/>
          <w:szCs w:val="24"/>
          <w:lang w:val="en-US"/>
        </w:rPr>
        <w:lastRenderedPageBreak/>
        <w:t>R</w:t>
      </w:r>
      <w:r w:rsidR="00C874A5" w:rsidRPr="00736D30">
        <w:rPr>
          <w:rFonts w:ascii="Times New Roman" w:hAnsi="Times New Roman" w:cs="Times New Roman"/>
          <w:sz w:val="24"/>
          <w:szCs w:val="24"/>
          <w:lang w:val="en-US"/>
        </w:rPr>
        <w:t>eferences</w:t>
      </w:r>
    </w:p>
    <w:bookmarkEnd w:id="0"/>
    <w:p w14:paraId="357CDBFA" w14:textId="77777777" w:rsidR="00736D30" w:rsidRPr="00736D30" w:rsidRDefault="00736D30" w:rsidP="00736D30">
      <w:pPr>
        <w:spacing w:line="480" w:lineRule="auto"/>
        <w:ind w:left="720" w:hanging="720"/>
        <w:rPr>
          <w:rFonts w:ascii="Times New Roman" w:hAnsi="Times New Roman" w:cs="Times New Roman"/>
          <w:sz w:val="24"/>
          <w:szCs w:val="24"/>
          <w:lang w:val="en-US"/>
        </w:rPr>
      </w:pPr>
      <w:r w:rsidRPr="00736D30">
        <w:rPr>
          <w:rFonts w:ascii="Times New Roman" w:hAnsi="Times New Roman" w:cs="Times New Roman"/>
          <w:sz w:val="24"/>
          <w:szCs w:val="24"/>
          <w:lang w:val="en-US"/>
        </w:rPr>
        <w:t>Kaufman, D. (2020). Interpretation of Arterial Blood Gases (ABGs),</w:t>
      </w:r>
      <w:r w:rsidRPr="00736D30">
        <w:rPr>
          <w:rFonts w:ascii="Times New Roman" w:hAnsi="Times New Roman" w:cs="Times New Roman"/>
          <w:sz w:val="24"/>
          <w:szCs w:val="24"/>
        </w:rPr>
        <w:t xml:space="preserve"> </w:t>
      </w:r>
      <w:hyperlink r:id="rId5" w:history="1">
        <w:r w:rsidRPr="00736D30">
          <w:rPr>
            <w:rStyle w:val="Hyperlink"/>
            <w:rFonts w:ascii="Times New Roman" w:hAnsi="Times New Roman" w:cs="Times New Roman"/>
            <w:sz w:val="24"/>
            <w:szCs w:val="24"/>
            <w:lang w:val="en-US"/>
          </w:rPr>
          <w:t>https://www.thoracic.org/professionals/clinical-resources/critical-care/clinical-education/abgs.php</w:t>
        </w:r>
      </w:hyperlink>
    </w:p>
    <w:p w14:paraId="120FD506" w14:textId="77777777" w:rsidR="00736D30" w:rsidRPr="00736D30" w:rsidRDefault="00736D30" w:rsidP="00736D30">
      <w:pPr>
        <w:spacing w:line="480" w:lineRule="auto"/>
        <w:ind w:left="720" w:hanging="720"/>
        <w:rPr>
          <w:rFonts w:ascii="Times New Roman" w:hAnsi="Times New Roman" w:cs="Times New Roman"/>
          <w:sz w:val="24"/>
          <w:szCs w:val="24"/>
          <w:lang w:val="en-US"/>
        </w:rPr>
      </w:pPr>
      <w:proofErr w:type="spellStart"/>
      <w:r w:rsidRPr="00736D30">
        <w:rPr>
          <w:rFonts w:ascii="Times New Roman" w:hAnsi="Times New Roman" w:cs="Times New Roman"/>
          <w:sz w:val="24"/>
          <w:szCs w:val="24"/>
          <w:lang w:val="en-US"/>
        </w:rPr>
        <w:t>Lumb</w:t>
      </w:r>
      <w:proofErr w:type="spellEnd"/>
      <w:r w:rsidRPr="00736D30">
        <w:rPr>
          <w:rFonts w:ascii="Times New Roman" w:hAnsi="Times New Roman" w:cs="Times New Roman"/>
          <w:sz w:val="24"/>
          <w:szCs w:val="24"/>
          <w:lang w:val="en-US"/>
        </w:rPr>
        <w:t xml:space="preserve"> &amp; </w:t>
      </w:r>
      <w:proofErr w:type="spellStart"/>
      <w:r w:rsidRPr="00736D30">
        <w:rPr>
          <w:rFonts w:ascii="Times New Roman" w:hAnsi="Times New Roman" w:cs="Times New Roman"/>
          <w:sz w:val="24"/>
          <w:szCs w:val="24"/>
          <w:lang w:val="en-US"/>
        </w:rPr>
        <w:t>Miskovic</w:t>
      </w:r>
      <w:proofErr w:type="spellEnd"/>
      <w:r w:rsidRPr="00736D30">
        <w:rPr>
          <w:rFonts w:ascii="Times New Roman" w:hAnsi="Times New Roman" w:cs="Times New Roman"/>
          <w:sz w:val="24"/>
          <w:szCs w:val="24"/>
          <w:lang w:val="en-US"/>
        </w:rPr>
        <w:t xml:space="preserve">, A. (2017).Postoperative Pulmonary Complications, </w:t>
      </w:r>
      <w:r w:rsidRPr="00736D30">
        <w:rPr>
          <w:rFonts w:ascii="Times New Roman" w:hAnsi="Times New Roman" w:cs="Times New Roman"/>
          <w:i/>
          <w:iCs/>
          <w:sz w:val="24"/>
          <w:szCs w:val="24"/>
          <w:lang w:val="en-US"/>
        </w:rPr>
        <w:t xml:space="preserve">BJA: British Journal of </w:t>
      </w:r>
      <w:proofErr w:type="spellStart"/>
      <w:r w:rsidRPr="00736D30">
        <w:rPr>
          <w:rFonts w:ascii="Times New Roman" w:hAnsi="Times New Roman" w:cs="Times New Roman"/>
          <w:i/>
          <w:iCs/>
          <w:sz w:val="24"/>
          <w:szCs w:val="24"/>
          <w:lang w:val="en-US"/>
        </w:rPr>
        <w:t>Anaesthesia</w:t>
      </w:r>
      <w:proofErr w:type="spellEnd"/>
      <w:r w:rsidRPr="00736D30">
        <w:rPr>
          <w:rFonts w:ascii="Times New Roman" w:hAnsi="Times New Roman" w:cs="Times New Roman"/>
          <w:sz w:val="24"/>
          <w:szCs w:val="24"/>
          <w:lang w:val="en-US"/>
        </w:rPr>
        <w:t>, Volume 118, Pages 317–334, </w:t>
      </w:r>
      <w:hyperlink r:id="rId6" w:history="1">
        <w:r w:rsidRPr="00736D30">
          <w:rPr>
            <w:rStyle w:val="Hyperlink"/>
            <w:rFonts w:ascii="Times New Roman" w:hAnsi="Times New Roman" w:cs="Times New Roman"/>
            <w:sz w:val="24"/>
            <w:szCs w:val="24"/>
            <w:lang w:val="en-US"/>
          </w:rPr>
          <w:t>https://doi.org/10.1093/bja/aex002</w:t>
        </w:r>
      </w:hyperlink>
    </w:p>
    <w:p w14:paraId="27960BD4" w14:textId="77777777" w:rsidR="006C61AD" w:rsidRPr="00736D30" w:rsidRDefault="006C61AD" w:rsidP="00736D30">
      <w:pPr>
        <w:spacing w:line="480" w:lineRule="auto"/>
        <w:rPr>
          <w:rFonts w:ascii="Times New Roman" w:hAnsi="Times New Roman" w:cs="Times New Roman"/>
          <w:sz w:val="24"/>
          <w:szCs w:val="24"/>
          <w:lang w:val="en-US"/>
        </w:rPr>
      </w:pPr>
    </w:p>
    <w:p w14:paraId="4BBB1091" w14:textId="77777777" w:rsidR="00C874A5" w:rsidRPr="00736D30" w:rsidRDefault="00C874A5" w:rsidP="00736D30">
      <w:pPr>
        <w:spacing w:line="480" w:lineRule="auto"/>
        <w:rPr>
          <w:rFonts w:ascii="Times New Roman" w:hAnsi="Times New Roman" w:cs="Times New Roman"/>
          <w:sz w:val="24"/>
          <w:szCs w:val="24"/>
          <w:lang w:val="en-US"/>
        </w:rPr>
      </w:pPr>
    </w:p>
    <w:p w14:paraId="76C76C7F" w14:textId="5B9A28D7" w:rsidR="004F025A" w:rsidRPr="00736D30" w:rsidRDefault="004F025A" w:rsidP="00736D30">
      <w:pPr>
        <w:spacing w:line="480" w:lineRule="auto"/>
        <w:rPr>
          <w:rFonts w:ascii="Times New Roman" w:hAnsi="Times New Roman" w:cs="Times New Roman"/>
          <w:sz w:val="24"/>
          <w:szCs w:val="24"/>
        </w:rPr>
      </w:pPr>
    </w:p>
    <w:p w14:paraId="441D9EBD" w14:textId="77777777" w:rsidR="004F025A" w:rsidRPr="00736D30" w:rsidRDefault="004F025A" w:rsidP="00736D30">
      <w:pPr>
        <w:spacing w:line="480" w:lineRule="auto"/>
        <w:rPr>
          <w:rFonts w:ascii="Times New Roman" w:hAnsi="Times New Roman" w:cs="Times New Roman"/>
          <w:sz w:val="24"/>
          <w:szCs w:val="24"/>
        </w:rPr>
      </w:pPr>
    </w:p>
    <w:sectPr w:rsidR="004F025A" w:rsidRPr="00736D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120A3F"/>
    <w:multiLevelType w:val="multilevel"/>
    <w:tmpl w:val="8208E8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25A"/>
    <w:rsid w:val="0033746C"/>
    <w:rsid w:val="003A346E"/>
    <w:rsid w:val="004D0937"/>
    <w:rsid w:val="004F025A"/>
    <w:rsid w:val="0060610A"/>
    <w:rsid w:val="006072ED"/>
    <w:rsid w:val="006C61AD"/>
    <w:rsid w:val="006D122F"/>
    <w:rsid w:val="00736D30"/>
    <w:rsid w:val="0074228C"/>
    <w:rsid w:val="00882CAD"/>
    <w:rsid w:val="008F0DC1"/>
    <w:rsid w:val="00A16BDD"/>
    <w:rsid w:val="00AD77DD"/>
    <w:rsid w:val="00B30289"/>
    <w:rsid w:val="00BC4554"/>
    <w:rsid w:val="00C02E86"/>
    <w:rsid w:val="00C2129C"/>
    <w:rsid w:val="00C67224"/>
    <w:rsid w:val="00C874A5"/>
    <w:rsid w:val="00CD0165"/>
    <w:rsid w:val="00E63399"/>
    <w:rsid w:val="00E81588"/>
    <w:rsid w:val="00F81576"/>
    <w:rsid w:val="00FD35B6"/>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A805"/>
  <w15:chartTrackingRefBased/>
  <w15:docId w15:val="{22256BA6-48DD-40AD-A0AC-FE0A4F78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0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74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92587">
      <w:bodyDiv w:val="1"/>
      <w:marLeft w:val="0"/>
      <w:marRight w:val="0"/>
      <w:marTop w:val="0"/>
      <w:marBottom w:val="0"/>
      <w:divBdr>
        <w:top w:val="none" w:sz="0" w:space="0" w:color="auto"/>
        <w:left w:val="none" w:sz="0" w:space="0" w:color="auto"/>
        <w:bottom w:val="none" w:sz="0" w:space="0" w:color="auto"/>
        <w:right w:val="none" w:sz="0" w:space="0" w:color="auto"/>
      </w:divBdr>
      <w:divsChild>
        <w:div w:id="1648171080">
          <w:marLeft w:val="0"/>
          <w:marRight w:val="0"/>
          <w:marTop w:val="0"/>
          <w:marBottom w:val="0"/>
          <w:divBdr>
            <w:top w:val="none" w:sz="0" w:space="0" w:color="auto"/>
            <w:left w:val="none" w:sz="0" w:space="0" w:color="auto"/>
            <w:bottom w:val="none" w:sz="0" w:space="0" w:color="auto"/>
            <w:right w:val="none" w:sz="0" w:space="0" w:color="auto"/>
          </w:divBdr>
        </w:div>
      </w:divsChild>
    </w:div>
    <w:div w:id="246429332">
      <w:bodyDiv w:val="1"/>
      <w:marLeft w:val="0"/>
      <w:marRight w:val="0"/>
      <w:marTop w:val="0"/>
      <w:marBottom w:val="0"/>
      <w:divBdr>
        <w:top w:val="none" w:sz="0" w:space="0" w:color="auto"/>
        <w:left w:val="none" w:sz="0" w:space="0" w:color="auto"/>
        <w:bottom w:val="none" w:sz="0" w:space="0" w:color="auto"/>
        <w:right w:val="none" w:sz="0" w:space="0" w:color="auto"/>
      </w:divBdr>
    </w:div>
    <w:div w:id="619261186">
      <w:bodyDiv w:val="1"/>
      <w:marLeft w:val="0"/>
      <w:marRight w:val="0"/>
      <w:marTop w:val="0"/>
      <w:marBottom w:val="0"/>
      <w:divBdr>
        <w:top w:val="none" w:sz="0" w:space="0" w:color="auto"/>
        <w:left w:val="none" w:sz="0" w:space="0" w:color="auto"/>
        <w:bottom w:val="none" w:sz="0" w:space="0" w:color="auto"/>
        <w:right w:val="none" w:sz="0" w:space="0" w:color="auto"/>
      </w:divBdr>
      <w:divsChild>
        <w:div w:id="1782846189">
          <w:marLeft w:val="0"/>
          <w:marRight w:val="0"/>
          <w:marTop w:val="0"/>
          <w:marBottom w:val="0"/>
          <w:divBdr>
            <w:top w:val="none" w:sz="0" w:space="0" w:color="auto"/>
            <w:left w:val="none" w:sz="0" w:space="0" w:color="auto"/>
            <w:bottom w:val="none" w:sz="0" w:space="0" w:color="auto"/>
            <w:right w:val="none" w:sz="0" w:space="0" w:color="auto"/>
          </w:divBdr>
          <w:divsChild>
            <w:div w:id="1580674724">
              <w:marLeft w:val="0"/>
              <w:marRight w:val="0"/>
              <w:marTop w:val="0"/>
              <w:marBottom w:val="0"/>
              <w:divBdr>
                <w:top w:val="none" w:sz="0" w:space="0" w:color="auto"/>
                <w:left w:val="none" w:sz="0" w:space="0" w:color="auto"/>
                <w:bottom w:val="none" w:sz="0" w:space="0" w:color="auto"/>
                <w:right w:val="none" w:sz="0" w:space="0" w:color="auto"/>
              </w:divBdr>
              <w:divsChild>
                <w:div w:id="1876039791">
                  <w:marLeft w:val="0"/>
                  <w:marRight w:val="0"/>
                  <w:marTop w:val="120"/>
                  <w:marBottom w:val="0"/>
                  <w:divBdr>
                    <w:top w:val="none" w:sz="0" w:space="0" w:color="auto"/>
                    <w:left w:val="none" w:sz="0" w:space="0" w:color="auto"/>
                    <w:bottom w:val="none" w:sz="0" w:space="0" w:color="auto"/>
                    <w:right w:val="none" w:sz="0" w:space="0" w:color="auto"/>
                  </w:divBdr>
                  <w:divsChild>
                    <w:div w:id="298461416">
                      <w:marLeft w:val="0"/>
                      <w:marRight w:val="0"/>
                      <w:marTop w:val="0"/>
                      <w:marBottom w:val="0"/>
                      <w:divBdr>
                        <w:top w:val="none" w:sz="0" w:space="0" w:color="auto"/>
                        <w:left w:val="none" w:sz="0" w:space="0" w:color="auto"/>
                        <w:bottom w:val="none" w:sz="0" w:space="0" w:color="auto"/>
                        <w:right w:val="none" w:sz="0" w:space="0" w:color="auto"/>
                      </w:divBdr>
                      <w:divsChild>
                        <w:div w:id="1474131893">
                          <w:marLeft w:val="0"/>
                          <w:marRight w:val="0"/>
                          <w:marTop w:val="0"/>
                          <w:marBottom w:val="0"/>
                          <w:divBdr>
                            <w:top w:val="none" w:sz="0" w:space="0" w:color="auto"/>
                            <w:left w:val="none" w:sz="0" w:space="0" w:color="auto"/>
                            <w:bottom w:val="none" w:sz="0" w:space="0" w:color="auto"/>
                            <w:right w:val="none" w:sz="0" w:space="0" w:color="auto"/>
                          </w:divBdr>
                          <w:divsChild>
                            <w:div w:id="148578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183562">
      <w:bodyDiv w:val="1"/>
      <w:marLeft w:val="0"/>
      <w:marRight w:val="0"/>
      <w:marTop w:val="0"/>
      <w:marBottom w:val="0"/>
      <w:divBdr>
        <w:top w:val="none" w:sz="0" w:space="0" w:color="auto"/>
        <w:left w:val="none" w:sz="0" w:space="0" w:color="auto"/>
        <w:bottom w:val="none" w:sz="0" w:space="0" w:color="auto"/>
        <w:right w:val="none" w:sz="0" w:space="0" w:color="auto"/>
      </w:divBdr>
      <w:divsChild>
        <w:div w:id="941180572">
          <w:marLeft w:val="0"/>
          <w:marRight w:val="0"/>
          <w:marTop w:val="0"/>
          <w:marBottom w:val="0"/>
          <w:divBdr>
            <w:top w:val="none" w:sz="0" w:space="0" w:color="auto"/>
            <w:left w:val="none" w:sz="0" w:space="0" w:color="auto"/>
            <w:bottom w:val="none" w:sz="0" w:space="0" w:color="auto"/>
            <w:right w:val="none" w:sz="0" w:space="0" w:color="auto"/>
          </w:divBdr>
          <w:divsChild>
            <w:div w:id="2127500231">
              <w:marLeft w:val="0"/>
              <w:marRight w:val="0"/>
              <w:marTop w:val="0"/>
              <w:marBottom w:val="165"/>
              <w:divBdr>
                <w:top w:val="none" w:sz="0" w:space="0" w:color="auto"/>
                <w:left w:val="none" w:sz="0" w:space="0" w:color="auto"/>
                <w:bottom w:val="none" w:sz="0" w:space="0" w:color="auto"/>
                <w:right w:val="none" w:sz="0" w:space="0" w:color="auto"/>
              </w:divBdr>
            </w:div>
          </w:divsChild>
        </w:div>
        <w:div w:id="720135765">
          <w:marLeft w:val="0"/>
          <w:marRight w:val="0"/>
          <w:marTop w:val="165"/>
          <w:marBottom w:val="165"/>
          <w:divBdr>
            <w:top w:val="none" w:sz="0" w:space="0" w:color="auto"/>
            <w:left w:val="none" w:sz="0" w:space="0" w:color="auto"/>
            <w:bottom w:val="none" w:sz="0" w:space="0" w:color="auto"/>
            <w:right w:val="none" w:sz="0" w:space="0" w:color="auto"/>
          </w:divBdr>
          <w:divsChild>
            <w:div w:id="905922335">
              <w:marLeft w:val="0"/>
              <w:marRight w:val="0"/>
              <w:marTop w:val="0"/>
              <w:marBottom w:val="0"/>
              <w:divBdr>
                <w:top w:val="none" w:sz="0" w:space="0" w:color="auto"/>
                <w:left w:val="none" w:sz="0" w:space="0" w:color="auto"/>
                <w:bottom w:val="none" w:sz="0" w:space="0" w:color="auto"/>
                <w:right w:val="none" w:sz="0" w:space="0" w:color="auto"/>
              </w:divBdr>
              <w:divsChild>
                <w:div w:id="2007777459">
                  <w:marLeft w:val="0"/>
                  <w:marRight w:val="225"/>
                  <w:marTop w:val="0"/>
                  <w:marBottom w:val="0"/>
                  <w:divBdr>
                    <w:top w:val="none" w:sz="0" w:space="0" w:color="auto"/>
                    <w:left w:val="none" w:sz="0" w:space="0" w:color="auto"/>
                    <w:bottom w:val="none" w:sz="0" w:space="0" w:color="auto"/>
                    <w:right w:val="none" w:sz="0" w:space="0" w:color="auto"/>
                  </w:divBdr>
                </w:div>
              </w:divsChild>
            </w:div>
            <w:div w:id="22101811">
              <w:marLeft w:val="0"/>
              <w:marRight w:val="0"/>
              <w:marTop w:val="0"/>
              <w:marBottom w:val="0"/>
              <w:divBdr>
                <w:top w:val="none" w:sz="0" w:space="0" w:color="auto"/>
                <w:left w:val="none" w:sz="0" w:space="0" w:color="auto"/>
                <w:bottom w:val="none" w:sz="0" w:space="0" w:color="auto"/>
                <w:right w:val="none" w:sz="0" w:space="0" w:color="auto"/>
              </w:divBdr>
              <w:divsChild>
                <w:div w:id="1772897001">
                  <w:marLeft w:val="0"/>
                  <w:marRight w:val="300"/>
                  <w:marTop w:val="0"/>
                  <w:marBottom w:val="0"/>
                  <w:divBdr>
                    <w:top w:val="none" w:sz="0" w:space="0" w:color="auto"/>
                    <w:left w:val="none" w:sz="0" w:space="0" w:color="auto"/>
                    <w:bottom w:val="none" w:sz="0" w:space="0" w:color="auto"/>
                    <w:right w:val="none" w:sz="0" w:space="0" w:color="auto"/>
                  </w:divBdr>
                  <w:divsChild>
                    <w:div w:id="293603029">
                      <w:marLeft w:val="0"/>
                      <w:marRight w:val="75"/>
                      <w:marTop w:val="0"/>
                      <w:marBottom w:val="0"/>
                      <w:divBdr>
                        <w:top w:val="none" w:sz="0" w:space="0" w:color="auto"/>
                        <w:left w:val="none" w:sz="0" w:space="0" w:color="auto"/>
                        <w:bottom w:val="none" w:sz="0" w:space="0" w:color="auto"/>
                        <w:right w:val="none" w:sz="0" w:space="0" w:color="auto"/>
                      </w:divBdr>
                    </w:div>
                    <w:div w:id="3350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3/bja/aex002" TargetMode="External"/><Relationship Id="rId5" Type="http://schemas.openxmlformats.org/officeDocument/2006/relationships/hyperlink" Target="https://www.thoracic.org/professionals/clinical-resources/critical-care/clinical-education/abgs.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Mbindyo</dc:creator>
  <cp:keywords/>
  <dc:description/>
  <cp:lastModifiedBy>hp</cp:lastModifiedBy>
  <cp:revision>2</cp:revision>
  <dcterms:created xsi:type="dcterms:W3CDTF">2020-10-21T21:35:00Z</dcterms:created>
  <dcterms:modified xsi:type="dcterms:W3CDTF">2020-10-21T21:35:00Z</dcterms:modified>
</cp:coreProperties>
</file>